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51" w:rsidRDefault="00684B51" w:rsidP="00684B51">
      <w:pPr>
        <w:jc w:val="center"/>
        <w:rPr>
          <w:rFonts w:cstheme="minorHAnsi"/>
          <w:b/>
          <w:sz w:val="44"/>
          <w:szCs w:val="44"/>
          <w:u w:val="single"/>
        </w:rPr>
      </w:pPr>
      <w:r w:rsidRPr="00684B51">
        <w:rPr>
          <w:rFonts w:cstheme="minorHAnsi"/>
          <w:noProof/>
          <w:sz w:val="44"/>
          <w:szCs w:val="44"/>
          <w:lang w:eastAsia="fr-FR"/>
        </w:rPr>
        <w:drawing>
          <wp:inline distT="0" distB="0" distL="0" distR="0">
            <wp:extent cx="1426712" cy="814811"/>
            <wp:effectExtent l="0" t="0" r="2540" b="4445"/>
            <wp:docPr id="1" name="Image 1" descr="E:\Données\Commun\LOGO\logo ok\logo-domaine-de-la-besse-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nnées\Commun\LOGO\logo ok\logo-domaine-de-la-besse-o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366" cy="824322"/>
                    </a:xfrm>
                    <a:prstGeom prst="rect">
                      <a:avLst/>
                    </a:prstGeom>
                    <a:noFill/>
                    <a:ln>
                      <a:noFill/>
                    </a:ln>
                  </pic:spPr>
                </pic:pic>
              </a:graphicData>
            </a:graphic>
          </wp:inline>
        </w:drawing>
      </w:r>
    </w:p>
    <w:p w:rsidR="00827B65" w:rsidRDefault="00684B51" w:rsidP="00684B51">
      <w:pPr>
        <w:jc w:val="center"/>
        <w:rPr>
          <w:rFonts w:cstheme="minorHAnsi"/>
          <w:b/>
          <w:sz w:val="36"/>
          <w:szCs w:val="36"/>
          <w:u w:val="single"/>
        </w:rPr>
      </w:pPr>
      <w:r w:rsidRPr="00684B51">
        <w:rPr>
          <w:rFonts w:cstheme="minorHAnsi"/>
          <w:b/>
          <w:sz w:val="36"/>
          <w:szCs w:val="36"/>
          <w:u w:val="single"/>
        </w:rPr>
        <w:t>CONDITIONS GENERALES DU PROGAMME DE FIDELITE DU DOMAINE DE LA BESSE</w:t>
      </w:r>
    </w:p>
    <w:p w:rsidR="00684B51" w:rsidRDefault="00684B51" w:rsidP="00684B51">
      <w:pPr>
        <w:jc w:val="center"/>
        <w:rPr>
          <w:rFonts w:cstheme="minorHAnsi"/>
          <w:b/>
          <w:sz w:val="36"/>
          <w:szCs w:val="36"/>
          <w:u w:val="single"/>
        </w:rPr>
      </w:pPr>
    </w:p>
    <w:p w:rsidR="00684B51" w:rsidRDefault="00684B51" w:rsidP="00684B51">
      <w:pPr>
        <w:rPr>
          <w:rFonts w:cstheme="minorHAnsi"/>
          <w:b/>
          <w:sz w:val="24"/>
          <w:szCs w:val="24"/>
          <w:u w:val="single"/>
        </w:rPr>
      </w:pPr>
      <w:r w:rsidRPr="00684B51">
        <w:rPr>
          <w:rFonts w:cstheme="minorHAnsi"/>
          <w:b/>
          <w:sz w:val="24"/>
          <w:szCs w:val="24"/>
          <w:u w:val="single"/>
        </w:rPr>
        <w:t>Article 1 :</w:t>
      </w:r>
      <w:r w:rsidR="00395941">
        <w:rPr>
          <w:rFonts w:cstheme="minorHAnsi"/>
          <w:b/>
          <w:sz w:val="24"/>
          <w:szCs w:val="24"/>
        </w:rPr>
        <w:t xml:space="preserve"> </w:t>
      </w:r>
      <w:r w:rsidR="00395941" w:rsidRPr="00395941">
        <w:rPr>
          <w:rFonts w:cstheme="minorHAnsi"/>
          <w:b/>
          <w:sz w:val="24"/>
          <w:szCs w:val="24"/>
        </w:rPr>
        <w:t>Objet</w:t>
      </w:r>
    </w:p>
    <w:p w:rsidR="00684B51" w:rsidRDefault="00684B51" w:rsidP="00684B51">
      <w:pPr>
        <w:pStyle w:val="Default"/>
      </w:pPr>
    </w:p>
    <w:p w:rsidR="00684B51" w:rsidRDefault="00684B51" w:rsidP="00684B51">
      <w:pPr>
        <w:pStyle w:val="Default"/>
        <w:rPr>
          <w:sz w:val="22"/>
          <w:szCs w:val="22"/>
        </w:rPr>
      </w:pPr>
      <w:r>
        <w:t xml:space="preserve"> </w:t>
      </w:r>
      <w:r>
        <w:rPr>
          <w:sz w:val="22"/>
          <w:szCs w:val="22"/>
        </w:rPr>
        <w:t xml:space="preserve">Le programme de fidélité du Domaine de la Besse a pour objet de faire bénéficier à ses adhérents des avantages décrits ci-après, lors de leurs séjours au Domaine de la Besse. Tout adhérent au programme déclare avoir pris connaissance des présentes conditions générales et les accepter pleinement et entièrement. Ces conditions générales sont susceptibles d’être modifiées et d’évoluer dans le temps. </w:t>
      </w:r>
    </w:p>
    <w:p w:rsidR="00684B51" w:rsidRDefault="00684B51" w:rsidP="00684B51">
      <w:r>
        <w:t>La carte de fidélité est strictement personnelle. Elle ne constitue pas un moyen de paiement et est non cessible. Seules les dépenses du titulaire du compte fidélité lui ouvrent la possibilité de cumuler des points ou des avantages/services.</w:t>
      </w:r>
    </w:p>
    <w:p w:rsidR="00684B51" w:rsidRPr="00320F40" w:rsidRDefault="00684B51" w:rsidP="00684B51">
      <w:pPr>
        <w:pStyle w:val="Default"/>
        <w:rPr>
          <w:color w:val="auto"/>
        </w:rPr>
      </w:pPr>
    </w:p>
    <w:p w:rsidR="00684B51" w:rsidRPr="00320F40" w:rsidRDefault="00684B51" w:rsidP="00684B51">
      <w:r w:rsidRPr="00320F40">
        <w:t xml:space="preserve"> Le Domaine de la Besse se réserve le droit de mettre fin au programme de fidélité en cessant à tout moment de proposer de nouvelles adhésions. Dans ce cas, le Domaine de la Besse accordera, pendant 3 mois la possibilité aux adhérents de faire valoir leurs points acquis. A défaut d’utilisation, ces points seront définitivement perdus.</w:t>
      </w:r>
    </w:p>
    <w:p w:rsidR="00684B51" w:rsidRDefault="00684B51" w:rsidP="00684B51">
      <w:pPr>
        <w:rPr>
          <w:color w:val="FF0000"/>
        </w:rPr>
      </w:pPr>
    </w:p>
    <w:p w:rsidR="00684B51" w:rsidRPr="00395941" w:rsidRDefault="00684B51" w:rsidP="00684B51">
      <w:pPr>
        <w:rPr>
          <w:b/>
          <w:sz w:val="24"/>
          <w:szCs w:val="24"/>
          <w:u w:val="single"/>
        </w:rPr>
      </w:pPr>
      <w:r w:rsidRPr="00395941">
        <w:rPr>
          <w:b/>
          <w:sz w:val="24"/>
          <w:szCs w:val="24"/>
          <w:u w:val="single"/>
        </w:rPr>
        <w:t>Article 2 :</w:t>
      </w:r>
      <w:r w:rsidR="00395941">
        <w:rPr>
          <w:b/>
          <w:sz w:val="24"/>
          <w:szCs w:val="24"/>
        </w:rPr>
        <w:t xml:space="preserve"> </w:t>
      </w:r>
      <w:r w:rsidR="00395941" w:rsidRPr="00395941">
        <w:rPr>
          <w:b/>
          <w:sz w:val="24"/>
          <w:szCs w:val="24"/>
        </w:rPr>
        <w:t>Conditions d’adhésion au programme</w:t>
      </w:r>
    </w:p>
    <w:p w:rsidR="00684B51" w:rsidRDefault="00684B51" w:rsidP="00684B51">
      <w:pPr>
        <w:pStyle w:val="Default"/>
        <w:rPr>
          <w:rFonts w:asciiTheme="minorHAnsi" w:hAnsiTheme="minorHAnsi" w:cstheme="minorBidi"/>
          <w:b/>
          <w:color w:val="auto"/>
          <w:sz w:val="22"/>
          <w:szCs w:val="22"/>
          <w:u w:val="single"/>
        </w:rPr>
      </w:pPr>
    </w:p>
    <w:p w:rsidR="00684B51" w:rsidRDefault="00684B51" w:rsidP="00684B51">
      <w:pPr>
        <w:pStyle w:val="Default"/>
        <w:rPr>
          <w:sz w:val="22"/>
          <w:szCs w:val="22"/>
        </w:rPr>
      </w:pPr>
      <w:r>
        <w:rPr>
          <w:rFonts w:asciiTheme="minorHAnsi" w:hAnsiTheme="minorHAnsi" w:cstheme="minorBidi"/>
          <w:color w:val="auto"/>
          <w:sz w:val="22"/>
          <w:szCs w:val="22"/>
        </w:rPr>
        <w:t xml:space="preserve"> </w:t>
      </w:r>
      <w:r>
        <w:rPr>
          <w:sz w:val="22"/>
          <w:szCs w:val="22"/>
        </w:rPr>
        <w:t xml:space="preserve">L’adhésion au programme de fidélité est libre et ouverte à toute personne physique de plus de 18 ans qui en fait la demande et a la capacité juridique à contracter. L’adhésion au programme est gratuite et effective dès réception par le nouveau membre d’un email lui confirmant son adhésion et lui communiquant son numéro de fidélité. </w:t>
      </w:r>
    </w:p>
    <w:p w:rsidR="00684B51" w:rsidRDefault="00684B51" w:rsidP="00684B51">
      <w:pPr>
        <w:pStyle w:val="Default"/>
        <w:rPr>
          <w:sz w:val="22"/>
          <w:szCs w:val="22"/>
        </w:rPr>
      </w:pPr>
      <w:r>
        <w:rPr>
          <w:sz w:val="22"/>
          <w:szCs w:val="22"/>
        </w:rPr>
        <w:t xml:space="preserve">Il est possible d’adhérer au programme : </w:t>
      </w:r>
    </w:p>
    <w:p w:rsidR="00684B51" w:rsidRDefault="00684B51" w:rsidP="00684B51">
      <w:pPr>
        <w:pStyle w:val="Default"/>
        <w:rPr>
          <w:sz w:val="22"/>
          <w:szCs w:val="22"/>
        </w:rPr>
      </w:pPr>
    </w:p>
    <w:p w:rsidR="00684B51" w:rsidRDefault="00684B51" w:rsidP="00684B51">
      <w:pPr>
        <w:pStyle w:val="Default"/>
        <w:numPr>
          <w:ilvl w:val="0"/>
          <w:numId w:val="1"/>
        </w:numPr>
        <w:spacing w:after="51"/>
        <w:rPr>
          <w:sz w:val="22"/>
          <w:szCs w:val="22"/>
        </w:rPr>
      </w:pPr>
      <w:r>
        <w:rPr>
          <w:sz w:val="22"/>
          <w:szCs w:val="22"/>
        </w:rPr>
        <w:t xml:space="preserve">En l’activant sur le site </w:t>
      </w:r>
      <w:r>
        <w:rPr>
          <w:color w:val="0462C1"/>
          <w:sz w:val="22"/>
          <w:szCs w:val="22"/>
        </w:rPr>
        <w:t xml:space="preserve">www.camping-labesse.com </w:t>
      </w:r>
      <w:r>
        <w:rPr>
          <w:sz w:val="22"/>
          <w:szCs w:val="22"/>
        </w:rPr>
        <w:t xml:space="preserve">après avoir créé un compte client </w:t>
      </w:r>
    </w:p>
    <w:p w:rsidR="00684B51" w:rsidRDefault="00684B51" w:rsidP="00684B51">
      <w:pPr>
        <w:pStyle w:val="Default"/>
        <w:numPr>
          <w:ilvl w:val="0"/>
          <w:numId w:val="1"/>
        </w:numPr>
        <w:spacing w:after="51"/>
        <w:rPr>
          <w:sz w:val="22"/>
          <w:szCs w:val="22"/>
        </w:rPr>
      </w:pPr>
      <w:r>
        <w:rPr>
          <w:sz w:val="22"/>
          <w:szCs w:val="22"/>
        </w:rPr>
        <w:t xml:space="preserve">Par email à contact@camping-labesse.com </w:t>
      </w:r>
    </w:p>
    <w:p w:rsidR="00684B51" w:rsidRDefault="00684B51" w:rsidP="00684B51">
      <w:pPr>
        <w:pStyle w:val="Default"/>
        <w:numPr>
          <w:ilvl w:val="0"/>
          <w:numId w:val="1"/>
        </w:numPr>
        <w:rPr>
          <w:sz w:val="22"/>
          <w:szCs w:val="22"/>
        </w:rPr>
      </w:pPr>
      <w:r>
        <w:rPr>
          <w:sz w:val="22"/>
          <w:szCs w:val="22"/>
        </w:rPr>
        <w:t>Par téléphone au 05.61.68.84.63</w:t>
      </w:r>
    </w:p>
    <w:p w:rsidR="00684B51" w:rsidRDefault="00684B51" w:rsidP="00684B51">
      <w:pPr>
        <w:pStyle w:val="Default"/>
        <w:rPr>
          <w:sz w:val="22"/>
          <w:szCs w:val="22"/>
        </w:rPr>
      </w:pPr>
    </w:p>
    <w:p w:rsidR="00684B51" w:rsidRPr="00320F40" w:rsidRDefault="00684B51" w:rsidP="00684B51">
      <w:r w:rsidRPr="00320F40">
        <w:t xml:space="preserve">Seuls les séjours vendus par le Domaine de la Besse permettent de cumuler des points. Les Tours Opérateurs, Comités d’Entreprise, les séjours de groupes, </w:t>
      </w:r>
      <w:r w:rsidR="00395941" w:rsidRPr="00320F40">
        <w:t>les évènements</w:t>
      </w:r>
      <w:r w:rsidR="00320F40" w:rsidRPr="00320F40">
        <w:t xml:space="preserve"> types mariages ou autres</w:t>
      </w:r>
      <w:r w:rsidR="00395941" w:rsidRPr="00320F40">
        <w:t xml:space="preserve"> </w:t>
      </w:r>
      <w:r w:rsidRPr="00320F40">
        <w:t>sont par conséquent exclus du programme fidélité. La souscription au programme engendre l’acceptation des communications liées au fonctionnement et aux services proposés par le programme.</w:t>
      </w:r>
    </w:p>
    <w:p w:rsidR="00395941" w:rsidRDefault="00395941" w:rsidP="00684B51">
      <w:pPr>
        <w:rPr>
          <w:color w:val="FF0000"/>
        </w:rPr>
      </w:pPr>
    </w:p>
    <w:p w:rsidR="00395941" w:rsidRDefault="00395941" w:rsidP="00684B51">
      <w:pPr>
        <w:rPr>
          <w:color w:val="FF0000"/>
        </w:rPr>
      </w:pPr>
    </w:p>
    <w:p w:rsidR="00395941" w:rsidRPr="00395941" w:rsidRDefault="00395941" w:rsidP="00684B51">
      <w:pPr>
        <w:rPr>
          <w:b/>
          <w:sz w:val="24"/>
          <w:szCs w:val="24"/>
          <w:u w:val="single"/>
        </w:rPr>
      </w:pPr>
      <w:r w:rsidRPr="00395941">
        <w:rPr>
          <w:b/>
          <w:sz w:val="24"/>
          <w:szCs w:val="24"/>
          <w:u w:val="single"/>
        </w:rPr>
        <w:t>Article 3 :</w:t>
      </w:r>
      <w:r>
        <w:rPr>
          <w:b/>
          <w:sz w:val="24"/>
          <w:szCs w:val="24"/>
        </w:rPr>
        <w:t xml:space="preserve"> </w:t>
      </w:r>
      <w:r w:rsidRPr="00395941">
        <w:rPr>
          <w:b/>
          <w:sz w:val="24"/>
          <w:szCs w:val="24"/>
        </w:rPr>
        <w:t>Cumul et gain des points</w:t>
      </w:r>
    </w:p>
    <w:p w:rsidR="00395941" w:rsidRDefault="00395941" w:rsidP="00395941">
      <w:pPr>
        <w:pStyle w:val="Default"/>
        <w:rPr>
          <w:sz w:val="22"/>
          <w:szCs w:val="22"/>
        </w:rPr>
      </w:pPr>
      <w:r>
        <w:rPr>
          <w:sz w:val="22"/>
          <w:szCs w:val="22"/>
        </w:rPr>
        <w:t xml:space="preserve">Seuls les séjours consommés depuis la date de souscription au programme et réservés auprès du </w:t>
      </w:r>
      <w:r w:rsidR="0032646E">
        <w:rPr>
          <w:sz w:val="22"/>
          <w:szCs w:val="22"/>
        </w:rPr>
        <w:t>Domaine de la Besse</w:t>
      </w:r>
      <w:r>
        <w:rPr>
          <w:sz w:val="22"/>
          <w:szCs w:val="22"/>
        </w:rPr>
        <w:t xml:space="preserve">, par internet, téléphone ou mail donnent droit à des points. Les points sont acquis à chaque </w:t>
      </w:r>
      <w:r w:rsidR="0032646E">
        <w:rPr>
          <w:sz w:val="22"/>
          <w:szCs w:val="22"/>
        </w:rPr>
        <w:t>séjours</w:t>
      </w:r>
      <w:r>
        <w:rPr>
          <w:sz w:val="22"/>
          <w:szCs w:val="22"/>
        </w:rPr>
        <w:t xml:space="preserve"> consommées (exception faite des nuitées offertes) et selo</w:t>
      </w:r>
      <w:r w:rsidR="0032646E">
        <w:rPr>
          <w:sz w:val="22"/>
          <w:szCs w:val="22"/>
        </w:rPr>
        <w:t xml:space="preserve">n le mode de calcul suivant : 5.50 </w:t>
      </w:r>
      <w:r>
        <w:rPr>
          <w:sz w:val="22"/>
          <w:szCs w:val="22"/>
        </w:rPr>
        <w:t xml:space="preserve">€ = 1 point. </w:t>
      </w:r>
    </w:p>
    <w:p w:rsidR="00395941" w:rsidRDefault="00395941" w:rsidP="00395941">
      <w:pPr>
        <w:pStyle w:val="Default"/>
        <w:rPr>
          <w:sz w:val="22"/>
          <w:szCs w:val="22"/>
        </w:rPr>
      </w:pPr>
    </w:p>
    <w:p w:rsidR="0032646E" w:rsidRDefault="00395941" w:rsidP="00395941">
      <w:pPr>
        <w:pStyle w:val="Default"/>
        <w:rPr>
          <w:sz w:val="22"/>
          <w:szCs w:val="22"/>
        </w:rPr>
      </w:pPr>
      <w:r>
        <w:rPr>
          <w:sz w:val="22"/>
          <w:szCs w:val="22"/>
        </w:rPr>
        <w:t>Les dépenses éligibles à l’attribution des points sont uniquement les dépenses liées à la locatio</w:t>
      </w:r>
      <w:r w:rsidR="00320F40">
        <w:rPr>
          <w:sz w:val="22"/>
          <w:szCs w:val="22"/>
        </w:rPr>
        <w:t>n de l’hébergement.</w:t>
      </w:r>
    </w:p>
    <w:p w:rsidR="00395941" w:rsidRDefault="00395941" w:rsidP="00395941">
      <w:pPr>
        <w:pStyle w:val="Default"/>
        <w:rPr>
          <w:sz w:val="22"/>
          <w:szCs w:val="22"/>
        </w:rPr>
      </w:pPr>
      <w:r>
        <w:rPr>
          <w:sz w:val="22"/>
          <w:szCs w:val="22"/>
        </w:rPr>
        <w:t xml:space="preserve">Des points supplémentaires pourront également être accordés dans le cadre d’opérations commerciales, de campagnes promotionnelles ou d’offres exceptionnelles du </w:t>
      </w:r>
      <w:r w:rsidR="0032646E">
        <w:rPr>
          <w:sz w:val="22"/>
          <w:szCs w:val="22"/>
        </w:rPr>
        <w:t>Domaine de la Besse</w:t>
      </w:r>
      <w:r>
        <w:rPr>
          <w:sz w:val="22"/>
          <w:szCs w:val="22"/>
        </w:rPr>
        <w:t xml:space="preserve">. En aucun cas les points acquis ne pourront donner lieu à une quelconque contrepartie financière. </w:t>
      </w:r>
    </w:p>
    <w:p w:rsidR="00395941" w:rsidRDefault="00395941" w:rsidP="00395941">
      <w:pPr>
        <w:pStyle w:val="Default"/>
        <w:rPr>
          <w:sz w:val="22"/>
          <w:szCs w:val="22"/>
        </w:rPr>
      </w:pPr>
    </w:p>
    <w:p w:rsidR="00395941" w:rsidRDefault="00395941" w:rsidP="0032646E">
      <w:pPr>
        <w:pStyle w:val="Default"/>
        <w:rPr>
          <w:sz w:val="22"/>
          <w:szCs w:val="22"/>
        </w:rPr>
      </w:pPr>
      <w:r>
        <w:rPr>
          <w:sz w:val="22"/>
          <w:szCs w:val="22"/>
        </w:rPr>
        <w:t xml:space="preserve">Les points sont cumulés au fur et à mesure des séjours effectués par le titulaire du compte fidélité ; il n’est donc pas possible de cumuler les points de compte différents. L’attribution des points se fait de manière automatique, </w:t>
      </w:r>
      <w:r w:rsidR="00320F40">
        <w:rPr>
          <w:sz w:val="22"/>
          <w:szCs w:val="22"/>
        </w:rPr>
        <w:t>10</w:t>
      </w:r>
      <w:r>
        <w:rPr>
          <w:sz w:val="22"/>
          <w:szCs w:val="22"/>
        </w:rPr>
        <w:t xml:space="preserve"> jours après la date de fin du séjour. En cas de non cumul des points constatés sur son espace client, l’adhérent pourra les réclamer auprès du </w:t>
      </w:r>
      <w:r w:rsidR="0032646E">
        <w:rPr>
          <w:sz w:val="22"/>
          <w:szCs w:val="22"/>
        </w:rPr>
        <w:t>Domaine de la Besse</w:t>
      </w:r>
      <w:r>
        <w:rPr>
          <w:sz w:val="22"/>
          <w:szCs w:val="22"/>
        </w:rPr>
        <w:t xml:space="preserve">, sur présentation de sa facture, dans un délai de 6 mois suivant la fin du séjour. </w:t>
      </w:r>
    </w:p>
    <w:p w:rsidR="0032646E" w:rsidRDefault="0032646E" w:rsidP="0032646E">
      <w:pPr>
        <w:pStyle w:val="Default"/>
      </w:pPr>
    </w:p>
    <w:p w:rsidR="00395941" w:rsidRDefault="00010737" w:rsidP="00395941">
      <w:pPr>
        <w:pStyle w:val="Default"/>
      </w:pPr>
      <w:r w:rsidRPr="00ED76B5">
        <w:rPr>
          <w:b/>
        </w:rPr>
        <w:t>BRONZE :</w:t>
      </w:r>
      <w:r>
        <w:t xml:space="preserve"> A partir de 150 points</w:t>
      </w:r>
    </w:p>
    <w:p w:rsidR="00ED76B5" w:rsidRDefault="00ED76B5" w:rsidP="00ED76B5">
      <w:pPr>
        <w:pStyle w:val="Default"/>
      </w:pPr>
      <w:r>
        <w:rPr>
          <w:b/>
        </w:rPr>
        <w:t>ARGENT</w:t>
      </w:r>
      <w:r w:rsidRPr="00ED76B5">
        <w:rPr>
          <w:b/>
        </w:rPr>
        <w:t> :</w:t>
      </w:r>
      <w:r>
        <w:t xml:space="preserve"> A partir de 300 points</w:t>
      </w:r>
    </w:p>
    <w:p w:rsidR="00ED76B5" w:rsidRDefault="00ED76B5" w:rsidP="00ED76B5">
      <w:pPr>
        <w:pStyle w:val="Default"/>
      </w:pPr>
      <w:r>
        <w:rPr>
          <w:b/>
        </w:rPr>
        <w:t>OR</w:t>
      </w:r>
      <w:r w:rsidRPr="00ED76B5">
        <w:rPr>
          <w:b/>
        </w:rPr>
        <w:t> :</w:t>
      </w:r>
      <w:r>
        <w:t xml:space="preserve"> A partir de 550 points</w:t>
      </w:r>
    </w:p>
    <w:p w:rsidR="00ED76B5" w:rsidRDefault="00ED76B5" w:rsidP="00ED76B5">
      <w:pPr>
        <w:pStyle w:val="Default"/>
      </w:pPr>
      <w:r>
        <w:rPr>
          <w:b/>
        </w:rPr>
        <w:t>DIAMANT</w:t>
      </w:r>
      <w:r w:rsidRPr="00ED76B5">
        <w:rPr>
          <w:b/>
        </w:rPr>
        <w:t> :</w:t>
      </w:r>
      <w:r>
        <w:t xml:space="preserve"> A partir de 1000 points</w:t>
      </w:r>
    </w:p>
    <w:p w:rsidR="00010737" w:rsidRDefault="00010737" w:rsidP="00395941">
      <w:pPr>
        <w:pStyle w:val="Default"/>
      </w:pPr>
    </w:p>
    <w:p w:rsidR="00395941" w:rsidRDefault="00395941" w:rsidP="00395941">
      <w:pPr>
        <w:pStyle w:val="Default"/>
        <w:rPr>
          <w:b/>
          <w:bCs/>
        </w:rPr>
      </w:pPr>
      <w:r w:rsidRPr="00395941">
        <w:rPr>
          <w:b/>
          <w:bCs/>
          <w:u w:val="single"/>
        </w:rPr>
        <w:t>Article 4:</w:t>
      </w:r>
      <w:r w:rsidRPr="00395941">
        <w:rPr>
          <w:b/>
          <w:bCs/>
        </w:rPr>
        <w:t xml:space="preserve"> Validité des points </w:t>
      </w:r>
    </w:p>
    <w:p w:rsidR="00395941" w:rsidRPr="00395941" w:rsidRDefault="00395941" w:rsidP="00395941">
      <w:pPr>
        <w:pStyle w:val="Default"/>
      </w:pPr>
    </w:p>
    <w:p w:rsidR="00395941" w:rsidRDefault="00395941" w:rsidP="00395941">
      <w:pPr>
        <w:pStyle w:val="Default"/>
        <w:rPr>
          <w:sz w:val="22"/>
          <w:szCs w:val="22"/>
        </w:rPr>
      </w:pPr>
      <w:r>
        <w:rPr>
          <w:sz w:val="22"/>
          <w:szCs w:val="22"/>
        </w:rPr>
        <w:t xml:space="preserve">Le programme de fidélité n’a pas de limite de validité. Cependant si au bout de 3 ans aucune activité n’a été enregistrée, le compte sera alors soldé. De même, toute utilisation frauduleuse du compte fidélité pourra être sanctionnée par sa clôture immédiate. </w:t>
      </w:r>
    </w:p>
    <w:p w:rsidR="00395941" w:rsidRDefault="00395941" w:rsidP="00395941">
      <w:r>
        <w:t>Le</w:t>
      </w:r>
      <w:r w:rsidR="00320F40">
        <w:t>s points acquis sont valables 24</w:t>
      </w:r>
      <w:r>
        <w:t xml:space="preserve"> mois à compter de la date de fin du séjour. Tout nouv</w:t>
      </w:r>
      <w:r w:rsidR="00320F40">
        <w:t>eau séjour vient prolonger de 24</w:t>
      </w:r>
      <w:r>
        <w:t xml:space="preserve"> mois la date de validité des points résiduels crédités au compte client.</w:t>
      </w:r>
    </w:p>
    <w:p w:rsidR="00395941" w:rsidRDefault="00395941" w:rsidP="00395941"/>
    <w:p w:rsidR="00395941" w:rsidRDefault="00395941" w:rsidP="00395941"/>
    <w:p w:rsidR="00395941" w:rsidRDefault="00395941" w:rsidP="00395941"/>
    <w:p w:rsidR="00395941" w:rsidRDefault="00395941" w:rsidP="00395941"/>
    <w:p w:rsidR="00395941" w:rsidRDefault="00395941" w:rsidP="00395941"/>
    <w:p w:rsidR="00395941" w:rsidRDefault="00395941" w:rsidP="00395941"/>
    <w:p w:rsidR="00395941" w:rsidRDefault="00395941" w:rsidP="00395941"/>
    <w:p w:rsidR="00395941" w:rsidRDefault="00395941" w:rsidP="00395941"/>
    <w:p w:rsidR="00395941" w:rsidRDefault="00395941" w:rsidP="00395941"/>
    <w:p w:rsidR="00395941" w:rsidRDefault="00395941" w:rsidP="00395941"/>
    <w:p w:rsidR="00395941" w:rsidRDefault="00395941" w:rsidP="00395941"/>
    <w:p w:rsidR="0032646E" w:rsidRDefault="0032646E" w:rsidP="00395941"/>
    <w:p w:rsidR="0032646E" w:rsidRDefault="0032646E" w:rsidP="00395941"/>
    <w:p w:rsidR="00395941" w:rsidRDefault="00395941" w:rsidP="00395941"/>
    <w:p w:rsidR="00395941" w:rsidRDefault="00395941" w:rsidP="00395941">
      <w:pPr>
        <w:pStyle w:val="Default"/>
      </w:pPr>
    </w:p>
    <w:p w:rsidR="00395941" w:rsidRDefault="00395941" w:rsidP="00395941">
      <w:pPr>
        <w:pStyle w:val="Default"/>
        <w:rPr>
          <w:b/>
          <w:bCs/>
        </w:rPr>
      </w:pPr>
      <w:r w:rsidRPr="00395941">
        <w:rPr>
          <w:b/>
          <w:bCs/>
          <w:u w:val="single"/>
        </w:rPr>
        <w:t>Article 6:</w:t>
      </w:r>
      <w:r w:rsidRPr="00395941">
        <w:rPr>
          <w:b/>
          <w:bCs/>
        </w:rPr>
        <w:t xml:space="preserve"> Informatique et liberté </w:t>
      </w:r>
    </w:p>
    <w:p w:rsidR="00395941" w:rsidRPr="00395941" w:rsidRDefault="00395941" w:rsidP="00395941">
      <w:pPr>
        <w:pStyle w:val="Default"/>
      </w:pPr>
    </w:p>
    <w:p w:rsidR="00395941" w:rsidRDefault="00395941" w:rsidP="00395941">
      <w:pPr>
        <w:pStyle w:val="Default"/>
        <w:rPr>
          <w:sz w:val="22"/>
          <w:szCs w:val="22"/>
        </w:rPr>
      </w:pPr>
      <w:r>
        <w:rPr>
          <w:sz w:val="22"/>
          <w:szCs w:val="22"/>
        </w:rPr>
        <w:t xml:space="preserve">En cas de litige entre un titulaire et le </w:t>
      </w:r>
      <w:r w:rsidR="00D3215A">
        <w:rPr>
          <w:sz w:val="22"/>
          <w:szCs w:val="22"/>
        </w:rPr>
        <w:t>Domaine</w:t>
      </w:r>
      <w:r>
        <w:rPr>
          <w:sz w:val="22"/>
          <w:szCs w:val="22"/>
        </w:rPr>
        <w:t xml:space="preserve"> </w:t>
      </w:r>
      <w:r w:rsidR="00D3215A">
        <w:rPr>
          <w:sz w:val="22"/>
          <w:szCs w:val="22"/>
        </w:rPr>
        <w:t>de la Besse</w:t>
      </w:r>
      <w:r>
        <w:rPr>
          <w:sz w:val="22"/>
          <w:szCs w:val="22"/>
        </w:rPr>
        <w:t xml:space="preserve">, la loi française est la seule loi applicable. Tout différend ou litige qui ne serait pas résolu à l’amiable entre les parties sera soumis au tribunal </w:t>
      </w:r>
      <w:r w:rsidR="00010737" w:rsidRPr="00010737">
        <w:rPr>
          <w:color w:val="auto"/>
          <w:sz w:val="22"/>
          <w:szCs w:val="22"/>
        </w:rPr>
        <w:t>de Toulouse</w:t>
      </w:r>
      <w:r w:rsidRPr="00010737">
        <w:rPr>
          <w:color w:val="auto"/>
          <w:sz w:val="22"/>
          <w:szCs w:val="22"/>
        </w:rPr>
        <w:t xml:space="preserve">. </w:t>
      </w:r>
    </w:p>
    <w:p w:rsidR="00395941" w:rsidRDefault="00395941" w:rsidP="00395941">
      <w:pPr>
        <w:pStyle w:val="Default"/>
        <w:rPr>
          <w:sz w:val="22"/>
          <w:szCs w:val="22"/>
        </w:rPr>
      </w:pPr>
    </w:p>
    <w:p w:rsidR="00395941" w:rsidRDefault="00395941" w:rsidP="00395941">
      <w:pPr>
        <w:pStyle w:val="Default"/>
        <w:rPr>
          <w:sz w:val="22"/>
          <w:szCs w:val="22"/>
        </w:rPr>
      </w:pPr>
      <w:r>
        <w:rPr>
          <w:sz w:val="22"/>
          <w:szCs w:val="22"/>
        </w:rPr>
        <w:t xml:space="preserve">Les informations recueillies dans le cadre de l’adhésion au programme fidélité seront exclusivement réservées au Domaine de la Besse. </w:t>
      </w:r>
    </w:p>
    <w:p w:rsidR="00395941" w:rsidRDefault="00395941" w:rsidP="00395941">
      <w:pPr>
        <w:pStyle w:val="Default"/>
        <w:rPr>
          <w:sz w:val="22"/>
          <w:szCs w:val="22"/>
        </w:rPr>
      </w:pPr>
      <w:r>
        <w:rPr>
          <w:sz w:val="22"/>
          <w:szCs w:val="22"/>
        </w:rPr>
        <w:t xml:space="preserve">Conformément aux dispositions de la loi « Informatique et Libertés » du 6 Janvier 1978, les titulaires disposent d’un droit d’accès de modification, rectification, suppression des données les concernant, et de demande d’arrêt des offres promotionnelles. Pour ce faire, il suffit de nous faire parvenir votre demande à tout moment en indiquant votre nom, prénom et adresse, soit par mail à </w:t>
      </w:r>
      <w:r>
        <w:rPr>
          <w:color w:val="0462C1"/>
          <w:sz w:val="22"/>
          <w:szCs w:val="22"/>
        </w:rPr>
        <w:t xml:space="preserve">contact@camping-labesse.com </w:t>
      </w:r>
      <w:r>
        <w:rPr>
          <w:sz w:val="22"/>
          <w:szCs w:val="22"/>
        </w:rPr>
        <w:t xml:space="preserve">ou par courrier à : </w:t>
      </w:r>
    </w:p>
    <w:p w:rsidR="00395941" w:rsidRDefault="00395941" w:rsidP="00395941">
      <w:pPr>
        <w:pStyle w:val="Default"/>
        <w:rPr>
          <w:sz w:val="22"/>
          <w:szCs w:val="22"/>
        </w:rPr>
      </w:pPr>
    </w:p>
    <w:p w:rsidR="00395941" w:rsidRDefault="00395941" w:rsidP="00395941">
      <w:pPr>
        <w:pStyle w:val="Default"/>
        <w:rPr>
          <w:sz w:val="22"/>
          <w:szCs w:val="22"/>
        </w:rPr>
      </w:pPr>
      <w:r>
        <w:rPr>
          <w:sz w:val="22"/>
          <w:szCs w:val="22"/>
        </w:rPr>
        <w:t xml:space="preserve">Camping Domaine de la Besse </w:t>
      </w:r>
    </w:p>
    <w:p w:rsidR="00395941" w:rsidRDefault="00395941" w:rsidP="00395941">
      <w:pPr>
        <w:pStyle w:val="Default"/>
        <w:rPr>
          <w:sz w:val="22"/>
          <w:szCs w:val="22"/>
        </w:rPr>
      </w:pPr>
      <w:r>
        <w:rPr>
          <w:sz w:val="22"/>
          <w:szCs w:val="22"/>
        </w:rPr>
        <w:t>La Besse</w:t>
      </w:r>
    </w:p>
    <w:p w:rsidR="00395941" w:rsidRDefault="00395941" w:rsidP="00395941">
      <w:pPr>
        <w:pStyle w:val="Default"/>
        <w:rPr>
          <w:sz w:val="22"/>
          <w:szCs w:val="22"/>
        </w:rPr>
      </w:pPr>
      <w:r>
        <w:rPr>
          <w:sz w:val="22"/>
          <w:szCs w:val="22"/>
        </w:rPr>
        <w:t>09500 CAMON</w:t>
      </w:r>
    </w:p>
    <w:p w:rsidR="0032646E" w:rsidRDefault="00395941" w:rsidP="00395941">
      <w:pPr>
        <w:rPr>
          <w:rFonts w:cstheme="minorHAnsi"/>
          <w:b/>
          <w:color w:val="FF0000"/>
          <w:sz w:val="24"/>
          <w:szCs w:val="24"/>
          <w:u w:val="single"/>
        </w:rPr>
      </w:pPr>
      <w:r>
        <w:t>L’adhérent est en droit de ne plus participer au programme. Il devra alors nous le notifier par écrit : les points cumulés seront alors perdus.</w:t>
      </w: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Pr="0032646E" w:rsidRDefault="0032646E" w:rsidP="0032646E">
      <w:pPr>
        <w:rPr>
          <w:rFonts w:cstheme="minorHAnsi"/>
          <w:sz w:val="24"/>
          <w:szCs w:val="24"/>
        </w:rPr>
      </w:pPr>
    </w:p>
    <w:p w:rsidR="0032646E" w:rsidRDefault="0032646E" w:rsidP="0032646E">
      <w:pPr>
        <w:rPr>
          <w:rFonts w:cstheme="minorHAnsi"/>
          <w:sz w:val="24"/>
          <w:szCs w:val="24"/>
        </w:rPr>
      </w:pPr>
    </w:p>
    <w:p w:rsidR="00395941" w:rsidRDefault="00395941" w:rsidP="0032646E">
      <w:pPr>
        <w:ind w:firstLine="708"/>
        <w:rPr>
          <w:rFonts w:cstheme="minorHAnsi"/>
          <w:sz w:val="24"/>
          <w:szCs w:val="24"/>
        </w:rPr>
      </w:pPr>
    </w:p>
    <w:p w:rsidR="0032646E" w:rsidRDefault="0032646E" w:rsidP="0032646E">
      <w:pPr>
        <w:ind w:firstLine="708"/>
        <w:rPr>
          <w:rFonts w:cstheme="minorHAnsi"/>
          <w:sz w:val="24"/>
          <w:szCs w:val="24"/>
        </w:rPr>
      </w:pPr>
    </w:p>
    <w:tbl>
      <w:tblPr>
        <w:tblStyle w:val="TableauGrille3-Accentuation6"/>
        <w:tblW w:w="9842" w:type="dxa"/>
        <w:tblInd w:w="5" w:type="dxa"/>
        <w:tblLook w:val="04A0" w:firstRow="1" w:lastRow="0" w:firstColumn="1" w:lastColumn="0" w:noHBand="0" w:noVBand="1"/>
      </w:tblPr>
      <w:tblGrid>
        <w:gridCol w:w="1968"/>
        <w:gridCol w:w="1968"/>
        <w:gridCol w:w="1968"/>
        <w:gridCol w:w="1969"/>
        <w:gridCol w:w="1969"/>
      </w:tblGrid>
      <w:tr w:rsidR="00286AE6" w:rsidTr="005560CC">
        <w:trPr>
          <w:cnfStyle w:val="100000000000" w:firstRow="1" w:lastRow="0" w:firstColumn="0" w:lastColumn="0" w:oddVBand="0" w:evenVBand="0" w:oddHBand="0" w:evenHBand="0" w:firstRowFirstColumn="0" w:firstRowLastColumn="0" w:lastRowFirstColumn="0" w:lastRowLastColumn="0"/>
          <w:trHeight w:val="876"/>
        </w:trPr>
        <w:tc>
          <w:tcPr>
            <w:cnfStyle w:val="001000000100" w:firstRow="0" w:lastRow="0" w:firstColumn="1" w:lastColumn="0" w:oddVBand="0" w:evenVBand="0" w:oddHBand="0" w:evenHBand="0" w:firstRowFirstColumn="1" w:firstRowLastColumn="0" w:lastRowFirstColumn="0" w:lastRowLastColumn="0"/>
            <w:tcW w:w="1968" w:type="dxa"/>
            <w:vAlign w:val="bottom"/>
          </w:tcPr>
          <w:p w:rsidR="00286AE6" w:rsidRPr="006D6CAF" w:rsidRDefault="006D6CAF" w:rsidP="006D6CAF">
            <w:pPr>
              <w:jc w:val="center"/>
              <w:rPr>
                <w:rFonts w:cstheme="minorHAnsi"/>
                <w:i w:val="0"/>
                <w:color w:val="538135" w:themeColor="accent6" w:themeShade="BF"/>
                <w:sz w:val="24"/>
                <w:szCs w:val="24"/>
              </w:rPr>
            </w:pPr>
            <w:r w:rsidRPr="006D6CAF">
              <w:rPr>
                <w:rFonts w:cstheme="minorHAnsi"/>
                <w:i w:val="0"/>
                <w:color w:val="538135" w:themeColor="accent6" w:themeShade="BF"/>
                <w:sz w:val="24"/>
                <w:szCs w:val="24"/>
              </w:rPr>
              <w:t>Avantages</w:t>
            </w:r>
          </w:p>
        </w:tc>
        <w:tc>
          <w:tcPr>
            <w:tcW w:w="1968" w:type="dxa"/>
          </w:tcPr>
          <w:p w:rsidR="00286AE6" w:rsidRPr="006D6CAF" w:rsidRDefault="00286AE6" w:rsidP="00286AE6">
            <w:pPr>
              <w:jc w:val="center"/>
              <w:cnfStyle w:val="100000000000" w:firstRow="1" w:lastRow="0" w:firstColumn="0" w:lastColumn="0" w:oddVBand="0" w:evenVBand="0" w:oddHBand="0" w:evenHBand="0" w:firstRowFirstColumn="0" w:firstRowLastColumn="0" w:lastRowFirstColumn="0" w:lastRowLastColumn="0"/>
              <w:rPr>
                <w:rFonts w:cstheme="minorHAnsi"/>
                <w:i/>
                <w:color w:val="538135" w:themeColor="accent6" w:themeShade="BF"/>
                <w:sz w:val="24"/>
                <w:szCs w:val="24"/>
              </w:rPr>
            </w:pPr>
            <w:r w:rsidRPr="006D6CAF">
              <w:rPr>
                <w:rFonts w:cstheme="minorHAnsi"/>
                <w:i/>
                <w:color w:val="538135" w:themeColor="accent6" w:themeShade="BF"/>
                <w:sz w:val="24"/>
                <w:szCs w:val="24"/>
              </w:rPr>
              <w:t>BRONZE</w:t>
            </w:r>
          </w:p>
        </w:tc>
        <w:tc>
          <w:tcPr>
            <w:tcW w:w="1968" w:type="dxa"/>
          </w:tcPr>
          <w:p w:rsidR="00286AE6" w:rsidRPr="006D6CAF" w:rsidRDefault="00286AE6" w:rsidP="00286AE6">
            <w:pPr>
              <w:jc w:val="center"/>
              <w:cnfStyle w:val="100000000000" w:firstRow="1" w:lastRow="0" w:firstColumn="0" w:lastColumn="0" w:oddVBand="0" w:evenVBand="0" w:oddHBand="0" w:evenHBand="0" w:firstRowFirstColumn="0" w:firstRowLastColumn="0" w:lastRowFirstColumn="0" w:lastRowLastColumn="0"/>
              <w:rPr>
                <w:rFonts w:cstheme="minorHAnsi"/>
                <w:color w:val="538135" w:themeColor="accent6" w:themeShade="BF"/>
                <w:sz w:val="24"/>
                <w:szCs w:val="24"/>
              </w:rPr>
            </w:pPr>
            <w:r w:rsidRPr="006D6CAF">
              <w:rPr>
                <w:rFonts w:cstheme="minorHAnsi"/>
                <w:color w:val="538135" w:themeColor="accent6" w:themeShade="BF"/>
                <w:sz w:val="24"/>
                <w:szCs w:val="24"/>
              </w:rPr>
              <w:t>ARGENT</w:t>
            </w:r>
          </w:p>
        </w:tc>
        <w:tc>
          <w:tcPr>
            <w:tcW w:w="1969" w:type="dxa"/>
          </w:tcPr>
          <w:p w:rsidR="00286AE6" w:rsidRPr="006D6CAF" w:rsidRDefault="00286AE6" w:rsidP="00286AE6">
            <w:pPr>
              <w:jc w:val="center"/>
              <w:cnfStyle w:val="100000000000" w:firstRow="1" w:lastRow="0" w:firstColumn="0" w:lastColumn="0" w:oddVBand="0" w:evenVBand="0" w:oddHBand="0" w:evenHBand="0" w:firstRowFirstColumn="0" w:firstRowLastColumn="0" w:lastRowFirstColumn="0" w:lastRowLastColumn="0"/>
              <w:rPr>
                <w:rFonts w:cstheme="minorHAnsi"/>
                <w:color w:val="538135" w:themeColor="accent6" w:themeShade="BF"/>
                <w:sz w:val="24"/>
                <w:szCs w:val="24"/>
              </w:rPr>
            </w:pPr>
            <w:r w:rsidRPr="006D6CAF">
              <w:rPr>
                <w:rFonts w:cstheme="minorHAnsi"/>
                <w:color w:val="538135" w:themeColor="accent6" w:themeShade="BF"/>
                <w:sz w:val="24"/>
                <w:szCs w:val="24"/>
              </w:rPr>
              <w:t>OR</w:t>
            </w:r>
          </w:p>
        </w:tc>
        <w:tc>
          <w:tcPr>
            <w:tcW w:w="1969" w:type="dxa"/>
          </w:tcPr>
          <w:p w:rsidR="00286AE6" w:rsidRPr="006D6CAF" w:rsidRDefault="00286AE6" w:rsidP="00286AE6">
            <w:pPr>
              <w:jc w:val="center"/>
              <w:cnfStyle w:val="100000000000" w:firstRow="1" w:lastRow="0" w:firstColumn="0" w:lastColumn="0" w:oddVBand="0" w:evenVBand="0" w:oddHBand="0" w:evenHBand="0" w:firstRowFirstColumn="0" w:firstRowLastColumn="0" w:lastRowFirstColumn="0" w:lastRowLastColumn="0"/>
              <w:rPr>
                <w:rFonts w:cstheme="minorHAnsi"/>
                <w:color w:val="538135" w:themeColor="accent6" w:themeShade="BF"/>
                <w:sz w:val="24"/>
                <w:szCs w:val="24"/>
              </w:rPr>
            </w:pPr>
            <w:r w:rsidRPr="006D6CAF">
              <w:rPr>
                <w:rFonts w:cstheme="minorHAnsi"/>
                <w:color w:val="538135" w:themeColor="accent6" w:themeShade="BF"/>
                <w:sz w:val="24"/>
                <w:szCs w:val="24"/>
              </w:rPr>
              <w:t>DIAMANT</w:t>
            </w:r>
          </w:p>
        </w:tc>
      </w:tr>
      <w:tr w:rsidR="006D6CAF" w:rsidTr="005560CC">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968" w:type="dxa"/>
          </w:tcPr>
          <w:p w:rsidR="00286AE6" w:rsidRPr="00387E85" w:rsidRDefault="00286AE6" w:rsidP="00286AE6">
            <w:pPr>
              <w:jc w:val="center"/>
              <w:rPr>
                <w:rFonts w:ascii="Calibri" w:hAnsi="Calibri" w:cs="Calibri"/>
                <w:color w:val="000000"/>
                <w:sz w:val="24"/>
                <w:szCs w:val="24"/>
              </w:rPr>
            </w:pPr>
            <w:r w:rsidRPr="00387E85">
              <w:rPr>
                <w:rFonts w:ascii="Calibri" w:hAnsi="Calibri" w:cs="Calibri"/>
                <w:color w:val="000000"/>
                <w:sz w:val="24"/>
                <w:szCs w:val="24"/>
              </w:rPr>
              <w:t>Frais de réservation</w:t>
            </w:r>
          </w:p>
        </w:tc>
        <w:tc>
          <w:tcPr>
            <w:tcW w:w="1968" w:type="dxa"/>
          </w:tcPr>
          <w:p w:rsidR="00286AE6" w:rsidRPr="00371F79" w:rsidRDefault="00286AE6" w:rsidP="006D6CAF">
            <w:pPr>
              <w:pStyle w:val="Paragraphedeliste"/>
              <w:numPr>
                <w:ilvl w:val="0"/>
                <w:numId w:val="12"/>
              </w:numPr>
              <w:ind w:left="759"/>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-50%</w:t>
            </w:r>
          </w:p>
        </w:tc>
        <w:tc>
          <w:tcPr>
            <w:tcW w:w="1968" w:type="dxa"/>
          </w:tcPr>
          <w:p w:rsidR="00286AE6" w:rsidRPr="00371F79" w:rsidRDefault="005B6494" w:rsidP="00371F79">
            <w:pPr>
              <w:pStyle w:val="Paragraphedeliste"/>
              <w:numPr>
                <w:ilvl w:val="0"/>
                <w:numId w:val="11"/>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c>
          <w:tcPr>
            <w:tcW w:w="1969" w:type="dxa"/>
          </w:tcPr>
          <w:p w:rsidR="00286AE6" w:rsidRPr="00371F79" w:rsidRDefault="005B6494" w:rsidP="00371F79">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c>
          <w:tcPr>
            <w:tcW w:w="1969" w:type="dxa"/>
          </w:tcPr>
          <w:p w:rsidR="00286AE6" w:rsidRPr="00371F79" w:rsidRDefault="005B6494" w:rsidP="00387E85">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r>
      <w:tr w:rsidR="00286AE6" w:rsidTr="005560CC">
        <w:trPr>
          <w:trHeight w:val="832"/>
        </w:trPr>
        <w:tc>
          <w:tcPr>
            <w:cnfStyle w:val="001000000000" w:firstRow="0" w:lastRow="0" w:firstColumn="1" w:lastColumn="0" w:oddVBand="0" w:evenVBand="0" w:oddHBand="0" w:evenHBand="0" w:firstRowFirstColumn="0" w:firstRowLastColumn="0" w:lastRowFirstColumn="0" w:lastRowLastColumn="0"/>
            <w:tcW w:w="1968" w:type="dxa"/>
          </w:tcPr>
          <w:p w:rsidR="00286AE6" w:rsidRPr="00387E85" w:rsidRDefault="00286AE6" w:rsidP="00286AE6">
            <w:pPr>
              <w:jc w:val="center"/>
              <w:rPr>
                <w:rFonts w:ascii="Calibri" w:hAnsi="Calibri" w:cs="Calibri"/>
                <w:color w:val="000000"/>
                <w:sz w:val="24"/>
                <w:szCs w:val="24"/>
              </w:rPr>
            </w:pPr>
            <w:r w:rsidRPr="00387E85">
              <w:rPr>
                <w:rFonts w:ascii="Calibri" w:hAnsi="Calibri" w:cs="Calibri"/>
                <w:color w:val="000000"/>
                <w:sz w:val="24"/>
                <w:szCs w:val="24"/>
              </w:rPr>
              <w:t>Kit Draps</w:t>
            </w:r>
          </w:p>
        </w:tc>
        <w:tc>
          <w:tcPr>
            <w:tcW w:w="1968" w:type="dxa"/>
          </w:tcPr>
          <w:p w:rsidR="00286AE6" w:rsidRPr="00371F79" w:rsidRDefault="00286AE6" w:rsidP="00371F79">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-50%</w:t>
            </w:r>
          </w:p>
        </w:tc>
        <w:tc>
          <w:tcPr>
            <w:tcW w:w="1968" w:type="dxa"/>
          </w:tcPr>
          <w:p w:rsidR="00286AE6" w:rsidRPr="00371F79" w:rsidRDefault="00387E85" w:rsidP="00371F79">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c>
          <w:tcPr>
            <w:tcW w:w="1969" w:type="dxa"/>
          </w:tcPr>
          <w:p w:rsidR="00286AE6" w:rsidRPr="00371F79" w:rsidRDefault="00387E85" w:rsidP="00371F79">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c>
          <w:tcPr>
            <w:tcW w:w="1969" w:type="dxa"/>
          </w:tcPr>
          <w:p w:rsidR="00286AE6" w:rsidRPr="00371F79" w:rsidRDefault="00387E85" w:rsidP="00387E85">
            <w:pPr>
              <w:pStyle w:val="Paragraphedeliste"/>
              <w:numPr>
                <w:ilvl w:val="0"/>
                <w:numId w:val="8"/>
              </w:numPr>
              <w:ind w:left="241"/>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r>
      <w:tr w:rsidR="006D6CAF" w:rsidTr="005560CC">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1968" w:type="dxa"/>
          </w:tcPr>
          <w:p w:rsidR="00286AE6" w:rsidRPr="00387E85" w:rsidRDefault="00286AE6" w:rsidP="00286AE6">
            <w:pPr>
              <w:jc w:val="center"/>
              <w:rPr>
                <w:rFonts w:ascii="Calibri" w:hAnsi="Calibri" w:cs="Calibri"/>
                <w:color w:val="000000"/>
                <w:sz w:val="24"/>
                <w:szCs w:val="24"/>
              </w:rPr>
            </w:pPr>
            <w:r w:rsidRPr="00387E85">
              <w:rPr>
                <w:rFonts w:ascii="Calibri" w:hAnsi="Calibri" w:cs="Calibri"/>
                <w:color w:val="000000"/>
                <w:sz w:val="24"/>
                <w:szCs w:val="24"/>
              </w:rPr>
              <w:t>Ménage de fin de séjour</w:t>
            </w:r>
          </w:p>
        </w:tc>
        <w:tc>
          <w:tcPr>
            <w:tcW w:w="1968" w:type="dxa"/>
          </w:tcPr>
          <w:p w:rsidR="00286AE6" w:rsidRPr="00371F79" w:rsidRDefault="00286AE6" w:rsidP="00371F79">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1968" w:type="dxa"/>
          </w:tcPr>
          <w:p w:rsidR="00286AE6" w:rsidRPr="00371F79" w:rsidRDefault="00286AE6" w:rsidP="00371F79">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1969" w:type="dxa"/>
          </w:tcPr>
          <w:p w:rsidR="00286AE6" w:rsidRPr="00371F79" w:rsidRDefault="00286AE6" w:rsidP="00371F79">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1969" w:type="dxa"/>
          </w:tcPr>
          <w:p w:rsidR="00286AE6" w:rsidRPr="00371F79" w:rsidRDefault="005B6494" w:rsidP="00387E85">
            <w:pPr>
              <w:pStyle w:val="Paragraphedeliste"/>
              <w:numPr>
                <w:ilvl w:val="0"/>
                <w:numId w:val="7"/>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r>
      <w:tr w:rsidR="00286AE6" w:rsidTr="005560CC">
        <w:trPr>
          <w:trHeight w:val="832"/>
        </w:trPr>
        <w:tc>
          <w:tcPr>
            <w:cnfStyle w:val="001000000000" w:firstRow="0" w:lastRow="0" w:firstColumn="1" w:lastColumn="0" w:oddVBand="0" w:evenVBand="0" w:oddHBand="0" w:evenHBand="0" w:firstRowFirstColumn="0" w:firstRowLastColumn="0" w:lastRowFirstColumn="0" w:lastRowLastColumn="0"/>
            <w:tcW w:w="1968" w:type="dxa"/>
          </w:tcPr>
          <w:p w:rsidR="00286AE6" w:rsidRPr="00387E85" w:rsidRDefault="00286AE6" w:rsidP="00286AE6">
            <w:pPr>
              <w:jc w:val="center"/>
              <w:rPr>
                <w:rFonts w:ascii="Calibri" w:hAnsi="Calibri" w:cs="Calibri"/>
                <w:color w:val="000000"/>
                <w:sz w:val="24"/>
                <w:szCs w:val="24"/>
              </w:rPr>
            </w:pPr>
            <w:r w:rsidRPr="00387E85">
              <w:rPr>
                <w:rFonts w:ascii="Calibri" w:hAnsi="Calibri" w:cs="Calibri"/>
                <w:color w:val="000000"/>
                <w:sz w:val="24"/>
                <w:szCs w:val="24"/>
              </w:rPr>
              <w:t>Choix d'emplacement</w:t>
            </w:r>
          </w:p>
        </w:tc>
        <w:tc>
          <w:tcPr>
            <w:tcW w:w="1968" w:type="dxa"/>
          </w:tcPr>
          <w:p w:rsidR="00286AE6" w:rsidRPr="00371F79" w:rsidRDefault="00286AE6" w:rsidP="00371F79">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-50%</w:t>
            </w:r>
          </w:p>
        </w:tc>
        <w:tc>
          <w:tcPr>
            <w:tcW w:w="1968" w:type="dxa"/>
          </w:tcPr>
          <w:p w:rsidR="00286AE6" w:rsidRPr="00371F79" w:rsidRDefault="005B6494" w:rsidP="00371F79">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c>
          <w:tcPr>
            <w:tcW w:w="1969" w:type="dxa"/>
          </w:tcPr>
          <w:p w:rsidR="00286AE6" w:rsidRPr="00371F79" w:rsidRDefault="005B6494" w:rsidP="00371F79">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c>
          <w:tcPr>
            <w:tcW w:w="1969" w:type="dxa"/>
          </w:tcPr>
          <w:p w:rsidR="00286AE6" w:rsidRPr="00371F79" w:rsidRDefault="005B6494" w:rsidP="00387E85">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r>
      <w:tr w:rsidR="006D6CAF" w:rsidTr="005560CC">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1968" w:type="dxa"/>
          </w:tcPr>
          <w:p w:rsidR="00286AE6" w:rsidRPr="00387E85" w:rsidRDefault="00286AE6" w:rsidP="00286AE6">
            <w:pPr>
              <w:jc w:val="center"/>
              <w:rPr>
                <w:rFonts w:ascii="Calibri" w:hAnsi="Calibri" w:cs="Calibri"/>
                <w:color w:val="000000"/>
                <w:sz w:val="24"/>
                <w:szCs w:val="24"/>
              </w:rPr>
            </w:pPr>
            <w:r w:rsidRPr="00387E85">
              <w:rPr>
                <w:rFonts w:ascii="Calibri" w:hAnsi="Calibri" w:cs="Calibri"/>
                <w:color w:val="000000"/>
                <w:sz w:val="24"/>
                <w:szCs w:val="24"/>
              </w:rPr>
              <w:t>Location de vélos</w:t>
            </w:r>
          </w:p>
        </w:tc>
        <w:tc>
          <w:tcPr>
            <w:tcW w:w="1968" w:type="dxa"/>
          </w:tcPr>
          <w:p w:rsidR="00286AE6" w:rsidRPr="00371F79" w:rsidRDefault="00286AE6" w:rsidP="00371F79">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1968" w:type="dxa"/>
          </w:tcPr>
          <w:p w:rsidR="00286AE6" w:rsidRPr="00371F79" w:rsidRDefault="005B6494" w:rsidP="00371F79">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-20%</w:t>
            </w:r>
          </w:p>
        </w:tc>
        <w:tc>
          <w:tcPr>
            <w:tcW w:w="1969" w:type="dxa"/>
          </w:tcPr>
          <w:p w:rsidR="00286AE6" w:rsidRPr="00371F79" w:rsidRDefault="005B6494" w:rsidP="00371F79">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-30%</w:t>
            </w:r>
          </w:p>
        </w:tc>
        <w:tc>
          <w:tcPr>
            <w:tcW w:w="1969" w:type="dxa"/>
          </w:tcPr>
          <w:p w:rsidR="00286AE6" w:rsidRPr="006D6CAF" w:rsidRDefault="005B6494" w:rsidP="006D6CAF">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6D6CAF">
              <w:rPr>
                <w:rFonts w:cstheme="minorHAnsi"/>
                <w:b/>
                <w:color w:val="000000" w:themeColor="text1"/>
                <w:sz w:val="24"/>
                <w:szCs w:val="24"/>
              </w:rPr>
              <w:t>-50%</w:t>
            </w:r>
          </w:p>
        </w:tc>
      </w:tr>
      <w:tr w:rsidR="00286AE6" w:rsidTr="005560CC">
        <w:trPr>
          <w:trHeight w:val="832"/>
        </w:trPr>
        <w:tc>
          <w:tcPr>
            <w:cnfStyle w:val="001000000000" w:firstRow="0" w:lastRow="0" w:firstColumn="1" w:lastColumn="0" w:oddVBand="0" w:evenVBand="0" w:oddHBand="0" w:evenHBand="0" w:firstRowFirstColumn="0" w:firstRowLastColumn="0" w:lastRowFirstColumn="0" w:lastRowLastColumn="0"/>
            <w:tcW w:w="1968" w:type="dxa"/>
          </w:tcPr>
          <w:p w:rsidR="00286AE6" w:rsidRPr="00387E85" w:rsidRDefault="00286AE6" w:rsidP="00286AE6">
            <w:pPr>
              <w:jc w:val="center"/>
              <w:rPr>
                <w:rFonts w:ascii="Calibri" w:hAnsi="Calibri" w:cs="Calibri"/>
                <w:color w:val="000000"/>
                <w:sz w:val="24"/>
                <w:szCs w:val="24"/>
              </w:rPr>
            </w:pPr>
            <w:r w:rsidRPr="00387E85">
              <w:rPr>
                <w:rFonts w:ascii="Calibri" w:hAnsi="Calibri" w:cs="Calibri"/>
                <w:color w:val="000000"/>
                <w:sz w:val="24"/>
                <w:szCs w:val="24"/>
              </w:rPr>
              <w:t xml:space="preserve">Kit Serviette </w:t>
            </w:r>
          </w:p>
        </w:tc>
        <w:tc>
          <w:tcPr>
            <w:tcW w:w="1968" w:type="dxa"/>
          </w:tcPr>
          <w:p w:rsidR="00286AE6" w:rsidRPr="00371F79" w:rsidRDefault="00286AE6" w:rsidP="00371F79">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p>
        </w:tc>
        <w:tc>
          <w:tcPr>
            <w:tcW w:w="1968" w:type="dxa"/>
          </w:tcPr>
          <w:p w:rsidR="00286AE6" w:rsidRPr="00371F79" w:rsidRDefault="00286AE6" w:rsidP="00371F79">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p>
        </w:tc>
        <w:tc>
          <w:tcPr>
            <w:tcW w:w="1969" w:type="dxa"/>
          </w:tcPr>
          <w:p w:rsidR="00286AE6" w:rsidRPr="00371F79" w:rsidRDefault="00387E85" w:rsidP="00371F79">
            <w:pPr>
              <w:pStyle w:val="Paragraphedeliste"/>
              <w:numPr>
                <w:ilvl w:val="0"/>
                <w:numId w:val="13"/>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-50%</w:t>
            </w:r>
          </w:p>
        </w:tc>
        <w:tc>
          <w:tcPr>
            <w:tcW w:w="1969" w:type="dxa"/>
          </w:tcPr>
          <w:p w:rsidR="00286AE6" w:rsidRPr="00371F79" w:rsidRDefault="00387E85" w:rsidP="006D6CAF">
            <w:pPr>
              <w:pStyle w:val="Paragraphedeliste"/>
              <w:numPr>
                <w:ilvl w:val="0"/>
                <w:numId w:val="13"/>
              </w:num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-50%</w:t>
            </w:r>
          </w:p>
        </w:tc>
      </w:tr>
      <w:tr w:rsidR="00286AE6" w:rsidTr="005560CC">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1968" w:type="dxa"/>
          </w:tcPr>
          <w:p w:rsidR="00286AE6" w:rsidRPr="00387E85" w:rsidRDefault="00286AE6" w:rsidP="00286AE6">
            <w:pPr>
              <w:jc w:val="center"/>
              <w:rPr>
                <w:rFonts w:ascii="Calibri" w:hAnsi="Calibri" w:cs="Calibri"/>
                <w:color w:val="000000"/>
                <w:sz w:val="24"/>
                <w:szCs w:val="24"/>
              </w:rPr>
            </w:pPr>
            <w:r w:rsidRPr="00387E85">
              <w:rPr>
                <w:rFonts w:ascii="Calibri" w:hAnsi="Calibri" w:cs="Calibri"/>
                <w:color w:val="000000"/>
                <w:sz w:val="24"/>
                <w:szCs w:val="24"/>
              </w:rPr>
              <w:t>Départ tardif</w:t>
            </w:r>
          </w:p>
        </w:tc>
        <w:tc>
          <w:tcPr>
            <w:tcW w:w="1968" w:type="dxa"/>
          </w:tcPr>
          <w:p w:rsidR="00286AE6" w:rsidRPr="00371F79" w:rsidRDefault="00286AE6" w:rsidP="00371F79">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1968" w:type="dxa"/>
          </w:tcPr>
          <w:p w:rsidR="00286AE6" w:rsidRPr="00371F79" w:rsidRDefault="005B6494" w:rsidP="00371F79">
            <w:pPr>
              <w:pStyle w:val="Paragraphedeliste"/>
              <w:numPr>
                <w:ilvl w:val="0"/>
                <w:numId w:val="13"/>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c>
          <w:tcPr>
            <w:tcW w:w="1969" w:type="dxa"/>
          </w:tcPr>
          <w:p w:rsidR="00286AE6" w:rsidRPr="00371F79" w:rsidRDefault="005B6494" w:rsidP="00371F79">
            <w:pPr>
              <w:pStyle w:val="Paragraphedeliste"/>
              <w:numPr>
                <w:ilvl w:val="0"/>
                <w:numId w:val="13"/>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c>
          <w:tcPr>
            <w:tcW w:w="1969" w:type="dxa"/>
          </w:tcPr>
          <w:p w:rsidR="00286AE6" w:rsidRPr="00371F79" w:rsidRDefault="00387E85" w:rsidP="00387E85">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r>
      <w:tr w:rsidR="00286AE6" w:rsidTr="005560CC">
        <w:trPr>
          <w:trHeight w:val="876"/>
        </w:trPr>
        <w:tc>
          <w:tcPr>
            <w:cnfStyle w:val="001000000000" w:firstRow="0" w:lastRow="0" w:firstColumn="1" w:lastColumn="0" w:oddVBand="0" w:evenVBand="0" w:oddHBand="0" w:evenHBand="0" w:firstRowFirstColumn="0" w:firstRowLastColumn="0" w:lastRowFirstColumn="0" w:lastRowLastColumn="0"/>
            <w:tcW w:w="1968" w:type="dxa"/>
          </w:tcPr>
          <w:p w:rsidR="00286AE6" w:rsidRPr="00387E85" w:rsidRDefault="00286AE6" w:rsidP="00286AE6">
            <w:pPr>
              <w:jc w:val="center"/>
              <w:rPr>
                <w:rFonts w:ascii="Calibri" w:hAnsi="Calibri" w:cs="Calibri"/>
                <w:color w:val="000000"/>
                <w:sz w:val="24"/>
                <w:szCs w:val="24"/>
              </w:rPr>
            </w:pPr>
            <w:r w:rsidRPr="00387E85">
              <w:rPr>
                <w:rFonts w:ascii="Calibri" w:hAnsi="Calibri" w:cs="Calibri"/>
                <w:color w:val="000000"/>
                <w:sz w:val="24"/>
                <w:szCs w:val="24"/>
              </w:rPr>
              <w:t>Entrée au Spa</w:t>
            </w:r>
          </w:p>
        </w:tc>
        <w:tc>
          <w:tcPr>
            <w:tcW w:w="1968" w:type="dxa"/>
          </w:tcPr>
          <w:p w:rsidR="00286AE6" w:rsidRPr="00371F79" w:rsidRDefault="00286AE6" w:rsidP="00371F79">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p>
        </w:tc>
        <w:tc>
          <w:tcPr>
            <w:tcW w:w="1968" w:type="dxa"/>
          </w:tcPr>
          <w:p w:rsidR="00286AE6" w:rsidRPr="00371F79" w:rsidRDefault="00286AE6" w:rsidP="00371F79">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p>
        </w:tc>
        <w:tc>
          <w:tcPr>
            <w:tcW w:w="1969" w:type="dxa"/>
          </w:tcPr>
          <w:p w:rsidR="00286AE6" w:rsidRPr="00371F79" w:rsidRDefault="00286AE6" w:rsidP="00371F79">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p>
        </w:tc>
        <w:tc>
          <w:tcPr>
            <w:tcW w:w="1969" w:type="dxa"/>
          </w:tcPr>
          <w:p w:rsidR="00286AE6" w:rsidRPr="00371F79" w:rsidRDefault="005B6494" w:rsidP="005B6494">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2 Entrées Offertes</w:t>
            </w:r>
            <w:r w:rsidR="00387E85" w:rsidRPr="00371F79">
              <w:rPr>
                <w:rFonts w:cstheme="minorHAnsi"/>
                <w:b/>
                <w:color w:val="000000" w:themeColor="text1"/>
                <w:sz w:val="24"/>
                <w:szCs w:val="24"/>
              </w:rPr>
              <w:t xml:space="preserve"> </w:t>
            </w:r>
          </w:p>
        </w:tc>
      </w:tr>
      <w:tr w:rsidR="00387E85" w:rsidTr="005560CC">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1968" w:type="dxa"/>
          </w:tcPr>
          <w:p w:rsidR="00387E85" w:rsidRPr="00387E85" w:rsidRDefault="00387E85" w:rsidP="00286AE6">
            <w:pPr>
              <w:jc w:val="center"/>
              <w:rPr>
                <w:rFonts w:ascii="Calibri" w:hAnsi="Calibri" w:cs="Calibri"/>
                <w:color w:val="000000"/>
                <w:sz w:val="24"/>
                <w:szCs w:val="24"/>
              </w:rPr>
            </w:pPr>
            <w:r w:rsidRPr="00387E85">
              <w:rPr>
                <w:rFonts w:ascii="Calibri" w:hAnsi="Calibri" w:cs="Calibri"/>
                <w:color w:val="000000"/>
                <w:sz w:val="24"/>
                <w:szCs w:val="24"/>
              </w:rPr>
              <w:t>Location de peignoirs</w:t>
            </w:r>
          </w:p>
        </w:tc>
        <w:tc>
          <w:tcPr>
            <w:tcW w:w="1968" w:type="dxa"/>
          </w:tcPr>
          <w:p w:rsidR="00387E85" w:rsidRPr="00371F79" w:rsidRDefault="00387E85" w:rsidP="00371F79">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1968" w:type="dxa"/>
          </w:tcPr>
          <w:p w:rsidR="00387E85" w:rsidRPr="00371F79" w:rsidRDefault="00387E85" w:rsidP="00371F79">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1969" w:type="dxa"/>
          </w:tcPr>
          <w:p w:rsidR="00387E85" w:rsidRPr="00371F79" w:rsidRDefault="00387E85" w:rsidP="00371F79">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p>
        </w:tc>
        <w:tc>
          <w:tcPr>
            <w:tcW w:w="1969" w:type="dxa"/>
          </w:tcPr>
          <w:p w:rsidR="00387E85" w:rsidRPr="00371F79" w:rsidRDefault="00387E85" w:rsidP="00387E85">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4"/>
                <w:szCs w:val="24"/>
              </w:rPr>
            </w:pPr>
            <w:r w:rsidRPr="00371F79">
              <w:rPr>
                <w:rFonts w:cstheme="minorHAnsi"/>
                <w:b/>
                <w:color w:val="000000" w:themeColor="text1"/>
                <w:sz w:val="24"/>
                <w:szCs w:val="24"/>
              </w:rPr>
              <w:t>Offert</w:t>
            </w:r>
          </w:p>
        </w:tc>
      </w:tr>
    </w:tbl>
    <w:p w:rsidR="0032646E" w:rsidRPr="0032646E" w:rsidRDefault="0032646E" w:rsidP="0032646E">
      <w:pPr>
        <w:ind w:firstLine="708"/>
        <w:rPr>
          <w:rFonts w:cstheme="minorHAnsi"/>
          <w:sz w:val="24"/>
          <w:szCs w:val="24"/>
        </w:rPr>
      </w:pPr>
      <w:bookmarkStart w:id="0" w:name="_GoBack"/>
      <w:bookmarkEnd w:id="0"/>
    </w:p>
    <w:sectPr w:rsidR="0032646E" w:rsidRPr="00326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91B1D"/>
    <w:multiLevelType w:val="hybridMultilevel"/>
    <w:tmpl w:val="0C8CA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A60F72"/>
    <w:multiLevelType w:val="hybridMultilevel"/>
    <w:tmpl w:val="E52EC3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A7B56"/>
    <w:multiLevelType w:val="hybridMultilevel"/>
    <w:tmpl w:val="E6D880A0"/>
    <w:lvl w:ilvl="0" w:tplc="040C000D">
      <w:start w:val="1"/>
      <w:numFmt w:val="bullet"/>
      <w:lvlText w:val=""/>
      <w:lvlJc w:val="left"/>
      <w:pPr>
        <w:ind w:left="629" w:hanging="360"/>
      </w:pPr>
      <w:rPr>
        <w:rFonts w:ascii="Wingdings" w:hAnsi="Wingdings" w:hint="default"/>
      </w:rPr>
    </w:lvl>
    <w:lvl w:ilvl="1" w:tplc="040C0003" w:tentative="1">
      <w:start w:val="1"/>
      <w:numFmt w:val="bullet"/>
      <w:lvlText w:val="o"/>
      <w:lvlJc w:val="left"/>
      <w:pPr>
        <w:ind w:left="1349" w:hanging="360"/>
      </w:pPr>
      <w:rPr>
        <w:rFonts w:ascii="Courier New" w:hAnsi="Courier New" w:cs="Courier New" w:hint="default"/>
      </w:rPr>
    </w:lvl>
    <w:lvl w:ilvl="2" w:tplc="040C0005" w:tentative="1">
      <w:start w:val="1"/>
      <w:numFmt w:val="bullet"/>
      <w:lvlText w:val=""/>
      <w:lvlJc w:val="left"/>
      <w:pPr>
        <w:ind w:left="2069" w:hanging="360"/>
      </w:pPr>
      <w:rPr>
        <w:rFonts w:ascii="Wingdings" w:hAnsi="Wingdings" w:hint="default"/>
      </w:rPr>
    </w:lvl>
    <w:lvl w:ilvl="3" w:tplc="040C0001" w:tentative="1">
      <w:start w:val="1"/>
      <w:numFmt w:val="bullet"/>
      <w:lvlText w:val=""/>
      <w:lvlJc w:val="left"/>
      <w:pPr>
        <w:ind w:left="2789" w:hanging="360"/>
      </w:pPr>
      <w:rPr>
        <w:rFonts w:ascii="Symbol" w:hAnsi="Symbol" w:hint="default"/>
      </w:rPr>
    </w:lvl>
    <w:lvl w:ilvl="4" w:tplc="040C0003" w:tentative="1">
      <w:start w:val="1"/>
      <w:numFmt w:val="bullet"/>
      <w:lvlText w:val="o"/>
      <w:lvlJc w:val="left"/>
      <w:pPr>
        <w:ind w:left="3509" w:hanging="360"/>
      </w:pPr>
      <w:rPr>
        <w:rFonts w:ascii="Courier New" w:hAnsi="Courier New" w:cs="Courier New" w:hint="default"/>
      </w:rPr>
    </w:lvl>
    <w:lvl w:ilvl="5" w:tplc="040C0005" w:tentative="1">
      <w:start w:val="1"/>
      <w:numFmt w:val="bullet"/>
      <w:lvlText w:val=""/>
      <w:lvlJc w:val="left"/>
      <w:pPr>
        <w:ind w:left="4229" w:hanging="360"/>
      </w:pPr>
      <w:rPr>
        <w:rFonts w:ascii="Wingdings" w:hAnsi="Wingdings" w:hint="default"/>
      </w:rPr>
    </w:lvl>
    <w:lvl w:ilvl="6" w:tplc="040C0001" w:tentative="1">
      <w:start w:val="1"/>
      <w:numFmt w:val="bullet"/>
      <w:lvlText w:val=""/>
      <w:lvlJc w:val="left"/>
      <w:pPr>
        <w:ind w:left="4949" w:hanging="360"/>
      </w:pPr>
      <w:rPr>
        <w:rFonts w:ascii="Symbol" w:hAnsi="Symbol" w:hint="default"/>
      </w:rPr>
    </w:lvl>
    <w:lvl w:ilvl="7" w:tplc="040C0003" w:tentative="1">
      <w:start w:val="1"/>
      <w:numFmt w:val="bullet"/>
      <w:lvlText w:val="o"/>
      <w:lvlJc w:val="left"/>
      <w:pPr>
        <w:ind w:left="5669" w:hanging="360"/>
      </w:pPr>
      <w:rPr>
        <w:rFonts w:ascii="Courier New" w:hAnsi="Courier New" w:cs="Courier New" w:hint="default"/>
      </w:rPr>
    </w:lvl>
    <w:lvl w:ilvl="8" w:tplc="040C0005" w:tentative="1">
      <w:start w:val="1"/>
      <w:numFmt w:val="bullet"/>
      <w:lvlText w:val=""/>
      <w:lvlJc w:val="left"/>
      <w:pPr>
        <w:ind w:left="6389" w:hanging="360"/>
      </w:pPr>
      <w:rPr>
        <w:rFonts w:ascii="Wingdings" w:hAnsi="Wingdings" w:hint="default"/>
      </w:rPr>
    </w:lvl>
  </w:abstractNum>
  <w:abstractNum w:abstractNumId="3" w15:restartNumberingAfterBreak="0">
    <w:nsid w:val="3DEE0BE4"/>
    <w:multiLevelType w:val="hybridMultilevel"/>
    <w:tmpl w:val="AD7842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635551"/>
    <w:multiLevelType w:val="hybridMultilevel"/>
    <w:tmpl w:val="E962E8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A7E99"/>
    <w:multiLevelType w:val="hybridMultilevel"/>
    <w:tmpl w:val="8C02A340"/>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53E362FE"/>
    <w:multiLevelType w:val="hybridMultilevel"/>
    <w:tmpl w:val="D60E53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BE5CB7"/>
    <w:multiLevelType w:val="hybridMultilevel"/>
    <w:tmpl w:val="2D5EC4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CF729B"/>
    <w:multiLevelType w:val="hybridMultilevel"/>
    <w:tmpl w:val="DF8458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2E7D2A"/>
    <w:multiLevelType w:val="hybridMultilevel"/>
    <w:tmpl w:val="4A74C2A6"/>
    <w:lvl w:ilvl="0" w:tplc="9EC44D3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FF0BC5"/>
    <w:multiLevelType w:val="hybridMultilevel"/>
    <w:tmpl w:val="5C268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B74068"/>
    <w:multiLevelType w:val="hybridMultilevel"/>
    <w:tmpl w:val="09CC30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8334FC"/>
    <w:multiLevelType w:val="hybridMultilevel"/>
    <w:tmpl w:val="0DDCEB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8"/>
  </w:num>
  <w:num w:numId="5">
    <w:abstractNumId w:val="10"/>
  </w:num>
  <w:num w:numId="6">
    <w:abstractNumId w:val="12"/>
  </w:num>
  <w:num w:numId="7">
    <w:abstractNumId w:val="11"/>
  </w:num>
  <w:num w:numId="8">
    <w:abstractNumId w:val="3"/>
  </w:num>
  <w:num w:numId="9">
    <w:abstractNumId w:val="0"/>
  </w:num>
  <w:num w:numId="10">
    <w:abstractNumId w:val="7"/>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51"/>
    <w:rsid w:val="00010737"/>
    <w:rsid w:val="00286AE6"/>
    <w:rsid w:val="00320F40"/>
    <w:rsid w:val="0032646E"/>
    <w:rsid w:val="00371F79"/>
    <w:rsid w:val="00387E85"/>
    <w:rsid w:val="00395941"/>
    <w:rsid w:val="004B35E2"/>
    <w:rsid w:val="005560CC"/>
    <w:rsid w:val="005B6494"/>
    <w:rsid w:val="00684B51"/>
    <w:rsid w:val="006D6CAF"/>
    <w:rsid w:val="0080448A"/>
    <w:rsid w:val="00827B65"/>
    <w:rsid w:val="00D3215A"/>
    <w:rsid w:val="00ED76B5"/>
    <w:rsid w:val="00EF6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CB5E6-9F1D-4B81-9F68-4388BECB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84B51"/>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28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6">
    <w:name w:val="Grid Table 1 Light Accent 6"/>
    <w:basedOn w:val="TableauNormal"/>
    <w:uiPriority w:val="46"/>
    <w:rsid w:val="00286AE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Liste7Couleur-Accentuation6">
    <w:name w:val="List Table 7 Colorful Accent 6"/>
    <w:basedOn w:val="TableauNormal"/>
    <w:uiPriority w:val="52"/>
    <w:rsid w:val="00286AE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3-Accentuation6">
    <w:name w:val="List Table 3 Accent 6"/>
    <w:basedOn w:val="TableauNormal"/>
    <w:uiPriority w:val="48"/>
    <w:rsid w:val="00286AE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6Couleur-Accentuation6">
    <w:name w:val="List Table 6 Colorful Accent 6"/>
    <w:basedOn w:val="TableauNormal"/>
    <w:uiPriority w:val="51"/>
    <w:rsid w:val="00286AE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agraphedeliste">
    <w:name w:val="List Paragraph"/>
    <w:basedOn w:val="Normal"/>
    <w:uiPriority w:val="34"/>
    <w:qFormat/>
    <w:rsid w:val="00286AE6"/>
    <w:pPr>
      <w:ind w:left="720"/>
      <w:contextualSpacing/>
    </w:pPr>
  </w:style>
  <w:style w:type="table" w:styleId="TableauGrille5Fonc-Accentuation6">
    <w:name w:val="Grid Table 5 Dark Accent 6"/>
    <w:basedOn w:val="TableauNormal"/>
    <w:uiPriority w:val="50"/>
    <w:rsid w:val="006D6C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Liste2-Accentuation6">
    <w:name w:val="List Table 2 Accent 6"/>
    <w:basedOn w:val="TableauNormal"/>
    <w:uiPriority w:val="47"/>
    <w:rsid w:val="006D6CA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Accentuation6">
    <w:name w:val="Grid Table 3 Accent 6"/>
    <w:basedOn w:val="TableauNormal"/>
    <w:uiPriority w:val="48"/>
    <w:rsid w:val="006D6C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xtedebulles">
    <w:name w:val="Balloon Text"/>
    <w:basedOn w:val="Normal"/>
    <w:link w:val="TextedebullesCar"/>
    <w:uiPriority w:val="99"/>
    <w:semiHidden/>
    <w:unhideWhenUsed/>
    <w:rsid w:val="000107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0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4515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cp:lastPrinted>2024-11-03T10:11:00Z</cp:lastPrinted>
  <dcterms:created xsi:type="dcterms:W3CDTF">2024-11-03T10:11:00Z</dcterms:created>
  <dcterms:modified xsi:type="dcterms:W3CDTF">2024-11-03T10:11:00Z</dcterms:modified>
</cp:coreProperties>
</file>